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7F" w:rsidRPr="00EA457F" w:rsidRDefault="00EA457F" w:rsidP="00EA457F">
      <w:pPr>
        <w:ind w:firstLine="567"/>
        <w:jc w:val="right"/>
        <w:rPr>
          <w:b/>
          <w:lang w:eastAsia="bg-BG"/>
        </w:rPr>
      </w:pPr>
      <w:bookmarkStart w:id="0" w:name="_GoBack"/>
      <w:bookmarkEnd w:id="0"/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b/>
          <w:lang w:eastAsia="bg-BG"/>
        </w:rPr>
        <w:t>Приложение № 5</w:t>
      </w:r>
    </w:p>
    <w:p w:rsidR="00EA457F" w:rsidRPr="00EA457F" w:rsidRDefault="00EA457F" w:rsidP="00EA457F">
      <w:pPr>
        <w:jc w:val="right"/>
        <w:rPr>
          <w:bCs/>
          <w:lang w:eastAsia="bg-BG"/>
        </w:rPr>
      </w:pP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  <w:t xml:space="preserve">       </w:t>
      </w:r>
      <w:r w:rsidRPr="00EA457F">
        <w:rPr>
          <w:bCs/>
          <w:lang w:eastAsia="bg-BG"/>
        </w:rPr>
        <w:t>(образец)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/>
          <w:lang w:eastAsia="bg-BG"/>
        </w:rPr>
      </w:pPr>
      <w:r w:rsidRPr="00EA457F">
        <w:rPr>
          <w:b/>
          <w:lang w:eastAsia="bg-BG"/>
        </w:rPr>
        <w:t>Д Е К Л А Р А Ц И Я*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 xml:space="preserve">за липса на обстоятелства по чл. 54, ал. 1, т. 3 – 6 от 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>Закона за обществените поръчки (ЗОП)</w:t>
      </w:r>
    </w:p>
    <w:p w:rsidR="00EA457F" w:rsidRPr="00EA457F" w:rsidRDefault="00EA457F" w:rsidP="00EA457F">
      <w:pPr>
        <w:jc w:val="both"/>
        <w:rPr>
          <w:bCs/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Подписаният (ите):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1.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2.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в 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__________________________, със седалище и адрес на управление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(наименование на ЮЛ, ФЛ, ЕТ, обединение)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______________________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</w:t>
      </w:r>
      <w:r w:rsidRPr="00EA457F">
        <w:rPr>
          <w:lang w:val="ru-RU" w:eastAsia="bg-BG"/>
        </w:rPr>
        <w:t>______</w:t>
      </w:r>
      <w:r w:rsidRPr="00EA457F">
        <w:rPr>
          <w:lang w:eastAsia="bg-BG"/>
        </w:rPr>
        <w:t>___, ЕИК/ЕИК по БУЛСТАТ _______</w:t>
      </w:r>
      <w:r w:rsidRPr="00EA457F">
        <w:rPr>
          <w:lang w:val="ru-RU" w:eastAsia="bg-BG"/>
        </w:rPr>
        <w:t>_</w:t>
      </w:r>
      <w:r w:rsidRPr="00EA457F">
        <w:rPr>
          <w:lang w:eastAsia="bg-BG"/>
        </w:rPr>
        <w:t xml:space="preserve">______, 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BE60B8" w:rsidRDefault="00EA457F" w:rsidP="00EA457F">
      <w:pPr>
        <w:jc w:val="both"/>
        <w:rPr>
          <w:lang w:val="en-GB"/>
        </w:rPr>
      </w:pPr>
      <w:r w:rsidRPr="00EA457F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="003B2D4D" w:rsidRPr="00BE60B8">
        <w:rPr>
          <w:lang w:val="ru-RU" w:eastAsia="bg-BG"/>
        </w:rPr>
        <w:t>„</w:t>
      </w:r>
      <w:r w:rsidR="0083452B" w:rsidRPr="0083452B">
        <w:t xml:space="preserve"> Предоставяне на електронна съобщителна услуга чрез обществена електронна мобилна мрежа по стандарт GSM/UMTS/LTE за нуждите на Народното събрание на Република България</w:t>
      </w:r>
      <w:r w:rsidR="00274AFE" w:rsidRPr="00BE60B8">
        <w:t>“</w:t>
      </w:r>
      <w:r w:rsidR="00274AFE" w:rsidRPr="00BE60B8">
        <w:rPr>
          <w:lang w:val="en-GB"/>
        </w:rPr>
        <w:t>,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center"/>
        <w:rPr>
          <w:lang w:eastAsia="bg-BG"/>
        </w:rPr>
      </w:pPr>
      <w:r w:rsidRPr="00EA457F">
        <w:rPr>
          <w:b/>
          <w:lang w:eastAsia="bg-BG"/>
        </w:rPr>
        <w:t>ДЕКЛАРИРАМ</w:t>
      </w:r>
      <w:r w:rsidRPr="00EA457F">
        <w:rPr>
          <w:lang w:eastAsia="bg-BG"/>
        </w:rPr>
        <w:t>, че: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tabs>
          <w:tab w:val="left" w:pos="0"/>
        </w:tabs>
        <w:ind w:firstLine="426"/>
        <w:jc w:val="both"/>
        <w:rPr>
          <w:lang w:eastAsia="bg-BG"/>
        </w:rPr>
      </w:pPr>
      <w:r>
        <w:rPr>
          <w:lang w:val="en-GB" w:eastAsia="bg-BG"/>
        </w:rPr>
        <w:t>1</w:t>
      </w:r>
      <w:r>
        <w:rPr>
          <w:lang w:eastAsia="bg-BG"/>
        </w:rPr>
        <w:t xml:space="preserve">. </w:t>
      </w:r>
      <w:r w:rsidRPr="00EA457F">
        <w:rPr>
          <w:lang w:eastAsia="bg-BG"/>
        </w:rPr>
        <w:t>Представляваният от мен (нас) участник/член на обединението/подизпълнител/трето лице,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</w:t>
      </w:r>
      <w:r w:rsidRPr="00EA457F">
        <w:rPr>
          <w:lang w:val="ru-RU" w:eastAsia="bg-BG"/>
        </w:rPr>
        <w:t>.</w:t>
      </w:r>
      <w:r w:rsidRPr="00EA457F">
        <w:rPr>
          <w:lang w:eastAsia="bg-BG"/>
        </w:rPr>
        <w:t xml:space="preserve">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3а представляваният от мен (нас) участник/член на обединението/</w:t>
      </w:r>
      <w:r w:rsidRPr="00EA457F">
        <w:rPr>
          <w:rFonts w:ascii="Timok" w:hAnsi="Timok" w:hint="eastAsia"/>
          <w:sz w:val="26"/>
          <w:szCs w:val="26"/>
          <w:lang w:val="ru-RU" w:eastAsia="bg-BG"/>
        </w:rPr>
        <w:t xml:space="preserve"> 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няма аналогични задължения на посочените в т. </w:t>
      </w:r>
      <w:r w:rsidRPr="00EA457F">
        <w:rPr>
          <w:lang w:val="en-GB" w:eastAsia="bg-BG"/>
        </w:rPr>
        <w:t>1</w:t>
      </w:r>
      <w:r w:rsidRPr="00EA457F">
        <w:rPr>
          <w:lang w:eastAsia="bg-BG"/>
        </w:rPr>
        <w:t xml:space="preserve">, установени с акт на компетентен орган, съгласно законодателството на държавата, в която е установен </w:t>
      </w:r>
      <w:r w:rsidRPr="00EA457F">
        <w:rPr>
          <w:i/>
          <w:lang w:eastAsia="bg-BG"/>
        </w:rPr>
        <w:t>(обстоятелството се декларира само в случай, че участникът е чуждестранно лице).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2. За участника/члена на обединението/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>, който представлявам, не е налице неравнопоставеност в случаите по чл. 44, ал. 5 ЗОП.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lastRenderedPageBreak/>
        <w:t>3. За участника/</w:t>
      </w:r>
      <w:r w:rsidRPr="00EA457F">
        <w:rPr>
          <w:rFonts w:hint="eastAsia"/>
          <w:lang w:eastAsia="bg-BG"/>
        </w:rPr>
        <w:t>члена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обединението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който представлявам, не е установено, че: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iCs/>
          <w:lang w:eastAsia="bg-BG"/>
        </w:rPr>
        <w:t>а)</w:t>
      </w:r>
      <w:r w:rsidRPr="00EA457F">
        <w:rPr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EA457F" w:rsidRPr="00EA457F" w:rsidRDefault="00EA457F" w:rsidP="00EA457F">
      <w:pPr>
        <w:ind w:firstLine="426"/>
        <w:jc w:val="both"/>
        <w:rPr>
          <w:lang w:val="en-US" w:eastAsia="bg-BG"/>
        </w:rPr>
      </w:pPr>
      <w:r w:rsidRPr="00EA457F">
        <w:rPr>
          <w:iCs/>
          <w:lang w:eastAsia="bg-BG"/>
        </w:rPr>
        <w:t>б)</w:t>
      </w:r>
      <w:r w:rsidRPr="00EA457F">
        <w:rPr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val="ru-RU" w:eastAsia="bg-BG"/>
        </w:rPr>
        <w:t xml:space="preserve">4. </w:t>
      </w:r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участника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члена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обединението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подизпълнител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трето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лице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който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представлявам</w:t>
      </w:r>
      <w:r w:rsidRPr="00EA457F">
        <w:rPr>
          <w:lang w:val="ru-RU" w:eastAsia="bg-BG"/>
        </w:rPr>
        <w:t xml:space="preserve">, </w:t>
      </w:r>
      <w:r w:rsidRPr="00EA457F">
        <w:rPr>
          <w:lang w:eastAsia="bg-BG"/>
        </w:rPr>
        <w:t>не</w:t>
      </w:r>
      <w:r w:rsidRPr="00EA457F">
        <w:rPr>
          <w:rFonts w:hint="eastAsia"/>
          <w:lang w:val="ru-RU" w:eastAsia="bg-BG"/>
        </w:rPr>
        <w:t xml:space="preserve"> 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установено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влязло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сила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наказателно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постановление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съдебно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решение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нарушение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61,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62,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2,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118,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128,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228,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245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301 – 305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Кодекса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Закона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трудовата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миграция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трудовата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мобилност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аналогични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задължения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установени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акт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компетентен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орган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съгласно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законодателството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държавата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която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кандидатът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участникът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установен</w:t>
      </w:r>
      <w:r w:rsidRPr="00EA457F">
        <w:rPr>
          <w:lang w:val="ru-RU" w:eastAsia="bg-BG"/>
        </w:rPr>
        <w:t>.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Известна ми е отговорността, която нося по чл. 313 от НК.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eastAsia="bg-BG"/>
        </w:rPr>
        <w:t>При промени в декларираните обстоятелства в процеса на възлагане на поръчката, ще уведомя възложителя за това в 3-дневен срок от настъпването им.</w:t>
      </w: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eastAsia="bg-BG"/>
        </w:rPr>
      </w:pPr>
    </w:p>
    <w:p w:rsidR="00EA457F" w:rsidRPr="00EA457F" w:rsidRDefault="00BE60B8" w:rsidP="00EA457F">
      <w:pPr>
        <w:jc w:val="both"/>
        <w:rPr>
          <w:lang w:eastAsia="bg-BG"/>
        </w:rPr>
      </w:pPr>
      <w:r>
        <w:rPr>
          <w:lang w:eastAsia="bg-BG"/>
        </w:rPr>
        <w:t>______________2020</w:t>
      </w:r>
      <w:r w:rsidR="00EA457F" w:rsidRPr="00EA457F">
        <w:rPr>
          <w:lang w:eastAsia="bg-BG"/>
        </w:rPr>
        <w:t xml:space="preserve"> г.</w:t>
      </w:r>
      <w:r w:rsidR="00EA457F" w:rsidRPr="00EA457F">
        <w:rPr>
          <w:lang w:eastAsia="bg-BG"/>
        </w:rPr>
        <w:tab/>
      </w:r>
      <w:r w:rsidR="00EA457F" w:rsidRPr="00EA457F">
        <w:rPr>
          <w:lang w:eastAsia="bg-BG"/>
        </w:rPr>
        <w:tab/>
      </w:r>
      <w:r w:rsidR="00EA457F" w:rsidRPr="00EA457F">
        <w:rPr>
          <w:lang w:eastAsia="bg-BG"/>
        </w:rPr>
        <w:tab/>
        <w:t>ДЕКЛАРАТОР: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1.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2.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 xml:space="preserve">   …………………...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sz w:val="18"/>
          <w:szCs w:val="18"/>
          <w:lang w:eastAsia="bg-BG"/>
        </w:rPr>
      </w:pPr>
      <w:r w:rsidRPr="00EA457F">
        <w:rPr>
          <w:sz w:val="18"/>
          <w:szCs w:val="18"/>
          <w:lang w:eastAsia="bg-BG"/>
        </w:rPr>
        <w:t>*</w:t>
      </w:r>
      <w:r w:rsidRPr="00EA457F">
        <w:rPr>
          <w:rFonts w:hint="eastAsia"/>
          <w:sz w:val="18"/>
          <w:szCs w:val="18"/>
          <w:lang w:eastAsia="bg-BG"/>
        </w:rPr>
        <w:t>Когато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участникът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член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на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обединението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подизпълнител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трето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 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повече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едно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декларацията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подписва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лицето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което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може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самостоятелно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да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го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, съгласно чл. 192, ал. 3 от ЗОП. </w:t>
      </w:r>
    </w:p>
    <w:p w:rsidR="00C00A2E" w:rsidRPr="00333314" w:rsidRDefault="00C00A2E" w:rsidP="00333314"/>
    <w:sectPr w:rsidR="00C00A2E" w:rsidRPr="00333314" w:rsidSect="00274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53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97" w:rsidRDefault="00701497">
      <w:r>
        <w:separator/>
      </w:r>
    </w:p>
  </w:endnote>
  <w:endnote w:type="continuationSeparator" w:id="0">
    <w:p w:rsidR="00701497" w:rsidRDefault="0070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3932A4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97" w:rsidRDefault="00701497">
      <w:r>
        <w:separator/>
      </w:r>
    </w:p>
  </w:footnote>
  <w:footnote w:type="continuationSeparator" w:id="0">
    <w:p w:rsidR="00701497" w:rsidRDefault="0070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4" w:rsidRDefault="00D03154" w:rsidP="006F2654">
    <w:pPr>
      <w:pStyle w:val="Header"/>
      <w:ind w:right="-10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DB737E4" wp14:editId="18E7F987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165C5F67" wp14:editId="70C49E19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22150" wp14:editId="00F4DA0D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22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C5DCBFC" wp14:editId="45676348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3624A"/>
    <w:multiLevelType w:val="hybridMultilevel"/>
    <w:tmpl w:val="794E0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5"/>
  </w:num>
  <w:num w:numId="5">
    <w:abstractNumId w:val="21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2"/>
  </w:num>
  <w:num w:numId="15">
    <w:abstractNumId w:val="3"/>
  </w:num>
  <w:num w:numId="16">
    <w:abstractNumId w:val="15"/>
  </w:num>
  <w:num w:numId="17">
    <w:abstractNumId w:val="16"/>
  </w:num>
  <w:num w:numId="18">
    <w:abstractNumId w:val="27"/>
  </w:num>
  <w:num w:numId="19">
    <w:abstractNumId w:val="7"/>
  </w:num>
  <w:num w:numId="20">
    <w:abstractNumId w:val="9"/>
  </w:num>
  <w:num w:numId="21">
    <w:abstractNumId w:val="10"/>
  </w:num>
  <w:num w:numId="22">
    <w:abstractNumId w:val="28"/>
  </w:num>
  <w:num w:numId="23">
    <w:abstractNumId w:val="31"/>
  </w:num>
  <w:num w:numId="24">
    <w:abstractNumId w:val="1"/>
  </w:num>
  <w:num w:numId="25">
    <w:abstractNumId w:val="26"/>
  </w:num>
  <w:num w:numId="26">
    <w:abstractNumId w:val="25"/>
  </w:num>
  <w:num w:numId="27">
    <w:abstractNumId w:val="32"/>
  </w:num>
  <w:num w:numId="28">
    <w:abstractNumId w:val="17"/>
  </w:num>
  <w:num w:numId="29">
    <w:abstractNumId w:val="29"/>
  </w:num>
  <w:num w:numId="30">
    <w:abstractNumId w:val="33"/>
  </w:num>
  <w:num w:numId="31">
    <w:abstractNumId w:val="3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74AFE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2A4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D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2CE9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2313"/>
    <w:rsid w:val="005841F3"/>
    <w:rsid w:val="005842EC"/>
    <w:rsid w:val="00585651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1497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452B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1A14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368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38D6"/>
    <w:rsid w:val="00AD61C4"/>
    <w:rsid w:val="00AE2C00"/>
    <w:rsid w:val="00AE44CC"/>
    <w:rsid w:val="00AE487C"/>
    <w:rsid w:val="00AE5DEB"/>
    <w:rsid w:val="00AE6E1D"/>
    <w:rsid w:val="00AF0F9F"/>
    <w:rsid w:val="00AF3672"/>
    <w:rsid w:val="00AF3B4E"/>
    <w:rsid w:val="00AF4518"/>
    <w:rsid w:val="00AF4642"/>
    <w:rsid w:val="00AF7BE4"/>
    <w:rsid w:val="00B00EDE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39C9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E60B8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A457F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9C6EA2-1013-4090-9A4B-F50869FC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457F"/>
    <w:pPr>
      <w:ind w:left="720"/>
      <w:contextualSpacing/>
    </w:pPr>
  </w:style>
  <w:style w:type="paragraph" w:styleId="NoSpacing">
    <w:name w:val="No Spacing"/>
    <w:uiPriority w:val="1"/>
    <w:qFormat/>
    <w:rsid w:val="00274A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F4CE-9F9D-4CC4-BBAF-580B2005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Василка Петкова</cp:lastModifiedBy>
  <cp:revision>2</cp:revision>
  <cp:lastPrinted>2018-11-21T11:07:00Z</cp:lastPrinted>
  <dcterms:created xsi:type="dcterms:W3CDTF">2020-04-23T13:13:00Z</dcterms:created>
  <dcterms:modified xsi:type="dcterms:W3CDTF">2020-04-23T13:13:00Z</dcterms:modified>
</cp:coreProperties>
</file>